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65D9D" w14:textId="77777777" w:rsidR="0014565C" w:rsidRPr="007D76BD" w:rsidRDefault="0014565C">
      <w:pPr>
        <w:pStyle w:val="DocHead"/>
        <w:ind w:left="-120" w:right="-136" w:firstLine="120"/>
        <w:rPr>
          <w:sz w:val="22"/>
          <w:szCs w:val="22"/>
        </w:rPr>
      </w:pPr>
      <w:r w:rsidRPr="007D76BD">
        <w:rPr>
          <w:sz w:val="22"/>
          <w:szCs w:val="22"/>
        </w:rPr>
        <w:t>Online Symposium on Circular Economy and Sustainability</w:t>
      </w:r>
    </w:p>
    <w:p w14:paraId="391B6410" w14:textId="0216017E" w:rsidR="0029773D" w:rsidRPr="007D76BD" w:rsidRDefault="0014565C">
      <w:pPr>
        <w:pStyle w:val="DocHead"/>
        <w:ind w:left="-120" w:right="-136" w:firstLine="120"/>
        <w:rPr>
          <w:sz w:val="22"/>
          <w:szCs w:val="22"/>
        </w:rPr>
      </w:pPr>
      <w:r w:rsidRPr="007D76BD">
        <w:rPr>
          <w:sz w:val="22"/>
          <w:szCs w:val="22"/>
        </w:rPr>
        <w:t>Greece 1-3 July, 2020</w:t>
      </w:r>
    </w:p>
    <w:p w14:paraId="2143FF97" w14:textId="7F62417A" w:rsidR="007D76BD" w:rsidRPr="007D76BD" w:rsidRDefault="003D032C">
      <w:pPr>
        <w:pStyle w:val="DocHead"/>
        <w:ind w:left="-120" w:right="-136" w:firstLine="120"/>
        <w:rPr>
          <w:b/>
          <w:bCs/>
          <w:sz w:val="22"/>
          <w:szCs w:val="22"/>
        </w:rPr>
      </w:pPr>
      <w:r>
        <w:rPr>
          <w:b/>
          <w:bCs/>
          <w:sz w:val="22"/>
          <w:szCs w:val="22"/>
        </w:rPr>
        <w:t xml:space="preserve">Examining the </w:t>
      </w:r>
      <w:r w:rsidR="00487FCE">
        <w:rPr>
          <w:b/>
          <w:bCs/>
          <w:sz w:val="22"/>
          <w:szCs w:val="22"/>
        </w:rPr>
        <w:t>potential carbon footprint reduction</w:t>
      </w:r>
      <w:r>
        <w:rPr>
          <w:b/>
          <w:bCs/>
          <w:sz w:val="22"/>
          <w:szCs w:val="22"/>
        </w:rPr>
        <w:t xml:space="preserve"> </w:t>
      </w:r>
      <w:r w:rsidR="00487FCE">
        <w:rPr>
          <w:b/>
          <w:bCs/>
          <w:sz w:val="22"/>
          <w:szCs w:val="22"/>
        </w:rPr>
        <w:t>by</w:t>
      </w:r>
      <w:r>
        <w:rPr>
          <w:b/>
          <w:bCs/>
          <w:sz w:val="22"/>
          <w:szCs w:val="22"/>
        </w:rPr>
        <w:t xml:space="preserve"> </w:t>
      </w:r>
      <w:r w:rsidR="00487FCE">
        <w:rPr>
          <w:b/>
          <w:bCs/>
          <w:sz w:val="22"/>
          <w:szCs w:val="22"/>
        </w:rPr>
        <w:t>implementing</w:t>
      </w:r>
      <w:r>
        <w:rPr>
          <w:b/>
          <w:bCs/>
          <w:sz w:val="22"/>
          <w:szCs w:val="22"/>
        </w:rPr>
        <w:t xml:space="preserve"> circular economy </w:t>
      </w:r>
      <w:r w:rsidR="00487FCE">
        <w:rPr>
          <w:b/>
          <w:bCs/>
          <w:sz w:val="22"/>
          <w:szCs w:val="22"/>
        </w:rPr>
        <w:t>practices</w:t>
      </w:r>
      <w:r>
        <w:rPr>
          <w:b/>
          <w:bCs/>
          <w:sz w:val="22"/>
          <w:szCs w:val="22"/>
        </w:rPr>
        <w:t xml:space="preserve"> in a protected area with anthropogenic activities </w:t>
      </w:r>
    </w:p>
    <w:p w14:paraId="5ED51A09" w14:textId="7995167B" w:rsidR="0029773D" w:rsidRPr="003D032C" w:rsidRDefault="003D032C">
      <w:pPr>
        <w:pStyle w:val="Els-Author"/>
        <w:rPr>
          <w:sz w:val="22"/>
          <w:szCs w:val="22"/>
          <w:lang w:eastAsia="zh-CN"/>
        </w:rPr>
      </w:pPr>
      <w:r>
        <w:rPr>
          <w:sz w:val="22"/>
          <w:szCs w:val="22"/>
        </w:rPr>
        <w:t>George Gaidajis</w:t>
      </w:r>
      <w:r w:rsidRPr="003D032C">
        <w:rPr>
          <w:sz w:val="22"/>
          <w:szCs w:val="22"/>
          <w:vertAlign w:val="superscript"/>
        </w:rPr>
        <w:t>1</w:t>
      </w:r>
      <w:r w:rsidR="007D76BD">
        <w:rPr>
          <w:sz w:val="22"/>
          <w:szCs w:val="22"/>
        </w:rPr>
        <w:t xml:space="preserve">, </w:t>
      </w:r>
      <w:r>
        <w:rPr>
          <w:sz w:val="22"/>
          <w:szCs w:val="22"/>
        </w:rPr>
        <w:t>Ilias Kakanis</w:t>
      </w:r>
      <w:r>
        <w:rPr>
          <w:sz w:val="22"/>
          <w:szCs w:val="22"/>
          <w:vertAlign w:val="superscript"/>
        </w:rPr>
        <w:t>1</w:t>
      </w:r>
    </w:p>
    <w:p w14:paraId="12B9EB6B" w14:textId="77777777" w:rsidR="003D032C" w:rsidRPr="003D032C" w:rsidRDefault="003D032C" w:rsidP="003D032C">
      <w:pPr>
        <w:jc w:val="center"/>
        <w:rPr>
          <w:i/>
          <w:sz w:val="22"/>
          <w:szCs w:val="22"/>
        </w:rPr>
      </w:pPr>
      <w:r w:rsidRPr="003D032C">
        <w:rPr>
          <w:i/>
          <w:sz w:val="22"/>
          <w:szCs w:val="22"/>
          <w:vertAlign w:val="superscript"/>
        </w:rPr>
        <w:t>1</w:t>
      </w:r>
      <w:r w:rsidRPr="003D032C">
        <w:rPr>
          <w:i/>
          <w:sz w:val="22"/>
          <w:szCs w:val="22"/>
        </w:rPr>
        <w:t>Laboratory of Environmental Management and Industrial Ecology, Department of Production Engineering and Management, Democritus University of Thrace, Xanthi, Greece</w:t>
      </w:r>
    </w:p>
    <w:p w14:paraId="01891F9F" w14:textId="31191383" w:rsidR="003D032C" w:rsidRDefault="003D032C" w:rsidP="003D032C">
      <w:pPr>
        <w:jc w:val="center"/>
        <w:rPr>
          <w:i/>
          <w:sz w:val="22"/>
          <w:szCs w:val="22"/>
        </w:rPr>
      </w:pPr>
      <w:r w:rsidRPr="003D032C">
        <w:rPr>
          <w:i/>
          <w:sz w:val="22"/>
          <w:szCs w:val="22"/>
        </w:rPr>
        <w:t>Corr</w:t>
      </w:r>
      <w:r>
        <w:rPr>
          <w:i/>
          <w:sz w:val="22"/>
          <w:szCs w:val="22"/>
        </w:rPr>
        <w:t xml:space="preserve">esponding author: George Gaidajis, </w:t>
      </w:r>
      <w:hyperlink r:id="rId8" w:history="1">
        <w:r w:rsidR="003D6D8E" w:rsidRPr="0067235F">
          <w:rPr>
            <w:rStyle w:val="Hyperlink"/>
            <w:i/>
            <w:sz w:val="22"/>
            <w:szCs w:val="22"/>
          </w:rPr>
          <w:t>geogai@pme.duth.gr</w:t>
        </w:r>
      </w:hyperlink>
    </w:p>
    <w:p w14:paraId="46C6744A" w14:textId="77777777" w:rsidR="003D6D8E" w:rsidRPr="003D032C" w:rsidRDefault="003D6D8E" w:rsidP="003D032C">
      <w:pPr>
        <w:jc w:val="center"/>
        <w:rPr>
          <w:rStyle w:val="Hyperlink"/>
          <w:i/>
          <w:sz w:val="22"/>
          <w:szCs w:val="22"/>
        </w:rPr>
      </w:pPr>
    </w:p>
    <w:p w14:paraId="2C5451FA" w14:textId="77777777" w:rsidR="0029773D" w:rsidRPr="003D6D8E" w:rsidRDefault="0029773D" w:rsidP="003D6D8E">
      <w:pPr>
        <w:pStyle w:val="Els-Abstract-head"/>
        <w:pBdr>
          <w:top w:val="single" w:sz="4" w:space="1" w:color="auto"/>
        </w:pBdr>
        <w:jc w:val="center"/>
        <w:rPr>
          <w:sz w:val="24"/>
          <w:szCs w:val="24"/>
        </w:rPr>
      </w:pPr>
      <w:r w:rsidRPr="003D6D8E">
        <w:rPr>
          <w:sz w:val="24"/>
          <w:szCs w:val="24"/>
        </w:rPr>
        <w:t>Abstract</w:t>
      </w:r>
    </w:p>
    <w:p w14:paraId="7D723592" w14:textId="4FE11C67" w:rsidR="00AF4C39" w:rsidRDefault="00D16C1C">
      <w:pPr>
        <w:pStyle w:val="Els-Abstract-text"/>
        <w:rPr>
          <w:sz w:val="24"/>
          <w:szCs w:val="24"/>
        </w:rPr>
      </w:pPr>
      <w:r>
        <w:rPr>
          <w:sz w:val="24"/>
          <w:szCs w:val="24"/>
        </w:rPr>
        <w:t xml:space="preserve">Protected areas </w:t>
      </w:r>
      <w:r w:rsidR="00DB484A">
        <w:rPr>
          <w:sz w:val="24"/>
          <w:szCs w:val="24"/>
        </w:rPr>
        <w:t xml:space="preserve">play a crucial role for </w:t>
      </w:r>
      <w:r w:rsidR="00972DD7">
        <w:rPr>
          <w:sz w:val="24"/>
          <w:szCs w:val="24"/>
        </w:rPr>
        <w:t xml:space="preserve">biodiversity </w:t>
      </w:r>
      <w:r w:rsidR="00DB484A">
        <w:rPr>
          <w:sz w:val="24"/>
          <w:szCs w:val="24"/>
        </w:rPr>
        <w:t>p</w:t>
      </w:r>
      <w:r w:rsidR="00972DD7">
        <w:rPr>
          <w:sz w:val="24"/>
          <w:szCs w:val="24"/>
        </w:rPr>
        <w:t>reservation</w:t>
      </w:r>
      <w:r w:rsidR="00DB484A">
        <w:rPr>
          <w:sz w:val="24"/>
          <w:szCs w:val="24"/>
        </w:rPr>
        <w:t xml:space="preserve"> and ecosystem health</w:t>
      </w:r>
      <w:bookmarkStart w:id="0" w:name="_GoBack"/>
      <w:bookmarkEnd w:id="0"/>
      <w:r w:rsidR="00972DD7">
        <w:rPr>
          <w:sz w:val="24"/>
          <w:szCs w:val="24"/>
        </w:rPr>
        <w:t xml:space="preserve">. These areas have wide socioeconomic and cultural value </w:t>
      </w:r>
      <w:r w:rsidR="00D85230">
        <w:rPr>
          <w:sz w:val="24"/>
          <w:szCs w:val="24"/>
        </w:rPr>
        <w:t>due to their importance on</w:t>
      </w:r>
      <w:r w:rsidR="00CE0E74">
        <w:rPr>
          <w:sz w:val="24"/>
          <w:szCs w:val="24"/>
        </w:rPr>
        <w:t xml:space="preserve"> said</w:t>
      </w:r>
      <w:r w:rsidR="00D85230">
        <w:rPr>
          <w:sz w:val="24"/>
          <w:szCs w:val="24"/>
        </w:rPr>
        <w:t xml:space="preserve"> </w:t>
      </w:r>
      <w:r w:rsidR="00204C66">
        <w:rPr>
          <w:sz w:val="24"/>
          <w:szCs w:val="24"/>
        </w:rPr>
        <w:t>biodiversity conservation, as well as on people’s livelihood, and nowadays, in helping mitigate and adapt to climate change. These values are often undermined due to extensive anthropogenic activities within the boundaries of protected areas. Recent studies have shown that globally a large percentage of protected areas have been highly degraded due to the impacts of human activities.</w:t>
      </w:r>
      <w:r w:rsidR="007B10D9">
        <w:rPr>
          <w:sz w:val="24"/>
          <w:szCs w:val="24"/>
        </w:rPr>
        <w:t xml:space="preserve"> </w:t>
      </w:r>
    </w:p>
    <w:p w14:paraId="7EBAF8DA" w14:textId="77777777" w:rsidR="00AF4C39" w:rsidRDefault="00AF4C39">
      <w:pPr>
        <w:pStyle w:val="Els-Abstract-text"/>
        <w:rPr>
          <w:sz w:val="24"/>
          <w:szCs w:val="24"/>
        </w:rPr>
      </w:pPr>
    </w:p>
    <w:p w14:paraId="510BD382" w14:textId="1E7402EC" w:rsidR="00BE7D18" w:rsidRPr="00567C97" w:rsidRDefault="007B10D9">
      <w:pPr>
        <w:pStyle w:val="Els-Abstract-text"/>
        <w:rPr>
          <w:sz w:val="24"/>
          <w:szCs w:val="24"/>
        </w:rPr>
      </w:pPr>
      <w:r>
        <w:rPr>
          <w:sz w:val="24"/>
          <w:szCs w:val="24"/>
        </w:rPr>
        <w:t xml:space="preserve">European Union with the approved Cross Border Cooperation </w:t>
      </w:r>
      <w:proofErr w:type="spellStart"/>
      <w:r>
        <w:rPr>
          <w:sz w:val="24"/>
          <w:szCs w:val="24"/>
        </w:rPr>
        <w:t>programmes</w:t>
      </w:r>
      <w:proofErr w:type="spellEnd"/>
      <w:r>
        <w:rPr>
          <w:sz w:val="24"/>
          <w:szCs w:val="24"/>
        </w:rPr>
        <w:t xml:space="preserve"> an</w:t>
      </w:r>
      <w:r w:rsidR="00CE0E74">
        <w:rPr>
          <w:sz w:val="24"/>
          <w:szCs w:val="24"/>
        </w:rPr>
        <w:t>d their targets, admits that</w:t>
      </w:r>
      <w:r>
        <w:rPr>
          <w:sz w:val="24"/>
          <w:szCs w:val="24"/>
        </w:rPr>
        <w:t xml:space="preserve"> protected areas in the European region are under pressure and under various threats by the constantly increasing anthropogenic activities within, or in close proximity to the boundaries of the protected areas. In full compliance </w:t>
      </w:r>
      <w:r w:rsidR="005538F7">
        <w:rPr>
          <w:sz w:val="24"/>
          <w:szCs w:val="24"/>
        </w:rPr>
        <w:t xml:space="preserve">with Interreg’s Greece-Bulgaria 2014 - 2020 priority objective to enhance the effectiveness of biodiversity protection </w:t>
      </w:r>
      <w:r w:rsidR="00F5786A">
        <w:rPr>
          <w:sz w:val="24"/>
          <w:szCs w:val="24"/>
        </w:rPr>
        <w:t>initiatives</w:t>
      </w:r>
      <w:r w:rsidR="005538F7">
        <w:rPr>
          <w:sz w:val="24"/>
          <w:szCs w:val="24"/>
        </w:rPr>
        <w:t>, the project “Reinforcing protected areas capacity through an innovative methodology for sustainability (BIO2CARE)” was developed. BIO2CARE project</w:t>
      </w:r>
      <w:r w:rsidR="005538F7" w:rsidRPr="005538F7">
        <w:rPr>
          <w:sz w:val="24"/>
          <w:szCs w:val="24"/>
        </w:rPr>
        <w:t xml:space="preserve"> aims at reinforcing the administrative capacit</w:t>
      </w:r>
      <w:r w:rsidR="00F5786A">
        <w:rPr>
          <w:sz w:val="24"/>
          <w:szCs w:val="24"/>
        </w:rPr>
        <w:t>y</w:t>
      </w:r>
      <w:r w:rsidR="005538F7" w:rsidRPr="005538F7">
        <w:rPr>
          <w:sz w:val="24"/>
          <w:szCs w:val="24"/>
        </w:rPr>
        <w:t xml:space="preserve"> and effectiveness of Protected Areas Management Bodies, in benefit of biodiversity and local communities, through the implementation of an innovative and integrated approach</w:t>
      </w:r>
      <w:r w:rsidR="005538F7">
        <w:rPr>
          <w:sz w:val="24"/>
          <w:szCs w:val="24"/>
        </w:rPr>
        <w:t xml:space="preserve">. </w:t>
      </w:r>
      <w:r w:rsidR="00AF4C39">
        <w:rPr>
          <w:sz w:val="24"/>
          <w:szCs w:val="24"/>
        </w:rPr>
        <w:t>Eight (8) partners participate in the p</w:t>
      </w:r>
      <w:r w:rsidR="00015758">
        <w:rPr>
          <w:sz w:val="24"/>
          <w:szCs w:val="24"/>
        </w:rPr>
        <w:t>roject,</w:t>
      </w:r>
      <w:r w:rsidR="00CE0E74">
        <w:rPr>
          <w:sz w:val="24"/>
          <w:szCs w:val="24"/>
        </w:rPr>
        <w:t xml:space="preserve"> with the Laboratory of Environmental Management and Industrial Ecology from Democritus University of Thrace</w:t>
      </w:r>
      <w:r w:rsidR="00015758">
        <w:rPr>
          <w:sz w:val="24"/>
          <w:szCs w:val="24"/>
        </w:rPr>
        <w:t xml:space="preserve"> being the leading partner. BIO2CARE with its output results aims to reinforce the efficiency and effectiveness of Protected Areas Management Bodies. The main outputs include a methodological framework of assessing the environmental performance of the area, a high-tech monitoring system to </w:t>
      </w:r>
      <w:r w:rsidR="00F5786A">
        <w:rPr>
          <w:sz w:val="24"/>
          <w:szCs w:val="24"/>
        </w:rPr>
        <w:t xml:space="preserve">monitor and </w:t>
      </w:r>
      <w:r w:rsidR="00015758">
        <w:rPr>
          <w:sz w:val="24"/>
          <w:szCs w:val="24"/>
        </w:rPr>
        <w:t xml:space="preserve">mitigate the illegal activities </w:t>
      </w:r>
      <w:r w:rsidR="00F5786A">
        <w:rPr>
          <w:sz w:val="24"/>
          <w:szCs w:val="24"/>
        </w:rPr>
        <w:t xml:space="preserve">such as lodging, hunting, sand-removal, etc. taking place </w:t>
      </w:r>
      <w:r w:rsidR="00015758">
        <w:rPr>
          <w:sz w:val="24"/>
          <w:szCs w:val="24"/>
        </w:rPr>
        <w:t xml:space="preserve">within the boundaries of the protected area, as well as the implementation of symbiotic activities in order to promote a circular economy strategy. </w:t>
      </w:r>
    </w:p>
    <w:p w14:paraId="2E639CF7" w14:textId="77777777" w:rsidR="00F5786A" w:rsidRDefault="00F5786A" w:rsidP="003417E0">
      <w:pPr>
        <w:pStyle w:val="Els-Abstract-text"/>
        <w:rPr>
          <w:sz w:val="24"/>
          <w:szCs w:val="24"/>
        </w:rPr>
      </w:pPr>
    </w:p>
    <w:p w14:paraId="65D52B8D" w14:textId="77777777" w:rsidR="00964969" w:rsidRDefault="00C609BE" w:rsidP="003417E0">
      <w:pPr>
        <w:pStyle w:val="Els-Abstract-text"/>
        <w:rPr>
          <w:sz w:val="24"/>
          <w:szCs w:val="24"/>
        </w:rPr>
      </w:pPr>
      <w:r>
        <w:rPr>
          <w:sz w:val="24"/>
          <w:szCs w:val="24"/>
        </w:rPr>
        <w:t>In this study</w:t>
      </w:r>
      <w:r w:rsidR="00F5786A">
        <w:rPr>
          <w:sz w:val="24"/>
          <w:szCs w:val="24"/>
        </w:rPr>
        <w:t xml:space="preserve">, </w:t>
      </w:r>
      <w:r>
        <w:rPr>
          <w:sz w:val="24"/>
          <w:szCs w:val="24"/>
        </w:rPr>
        <w:t xml:space="preserve">the area under examination is the National Park of Eastern Macedonia and Thrace (NP-EMATH) in NE Greece. </w:t>
      </w:r>
      <w:r w:rsidR="00AB2661">
        <w:rPr>
          <w:sz w:val="24"/>
          <w:szCs w:val="24"/>
        </w:rPr>
        <w:t>43 villages and close to 29,000 people are located within the boundaries of the National Park. Furthermore, numerous anthropogenic activities take place, mostly in the agricultural sector as agricultural production is the main economic activity. There is also industrial activity focusing on processing the agricultural goods produced in the area, as well as touris</w:t>
      </w:r>
      <w:r w:rsidR="00F5786A">
        <w:rPr>
          <w:sz w:val="24"/>
          <w:szCs w:val="24"/>
        </w:rPr>
        <w:t>tic</w:t>
      </w:r>
      <w:r w:rsidR="00AB2661">
        <w:rPr>
          <w:sz w:val="24"/>
          <w:szCs w:val="24"/>
        </w:rPr>
        <w:t xml:space="preserve"> activities. Finally, in close proximity</w:t>
      </w:r>
      <w:r w:rsidR="00F5786A">
        <w:rPr>
          <w:sz w:val="24"/>
          <w:szCs w:val="24"/>
        </w:rPr>
        <w:t xml:space="preserve">, </w:t>
      </w:r>
      <w:r w:rsidR="00AB2661">
        <w:rPr>
          <w:sz w:val="24"/>
          <w:szCs w:val="24"/>
        </w:rPr>
        <w:t xml:space="preserve">a heavy industrial zone is </w:t>
      </w:r>
      <w:r w:rsidR="00F5786A">
        <w:rPr>
          <w:sz w:val="24"/>
          <w:szCs w:val="24"/>
        </w:rPr>
        <w:t xml:space="preserve">located </w:t>
      </w:r>
      <w:r w:rsidR="00AB2661">
        <w:rPr>
          <w:sz w:val="24"/>
          <w:szCs w:val="24"/>
        </w:rPr>
        <w:t xml:space="preserve">in the </w:t>
      </w:r>
      <w:r w:rsidR="00F5786A">
        <w:rPr>
          <w:sz w:val="24"/>
          <w:szCs w:val="24"/>
        </w:rPr>
        <w:t xml:space="preserve">western boundaries of the NP-EMATH. </w:t>
      </w:r>
      <w:r w:rsidR="00AB2661">
        <w:rPr>
          <w:sz w:val="24"/>
          <w:szCs w:val="24"/>
        </w:rPr>
        <w:t xml:space="preserve">A </w:t>
      </w:r>
      <w:r w:rsidR="00F5786A">
        <w:rPr>
          <w:sz w:val="24"/>
          <w:szCs w:val="24"/>
        </w:rPr>
        <w:t xml:space="preserve">potential </w:t>
      </w:r>
      <w:r w:rsidR="00964969">
        <w:rPr>
          <w:sz w:val="24"/>
          <w:szCs w:val="24"/>
        </w:rPr>
        <w:t xml:space="preserve">approach for the </w:t>
      </w:r>
      <w:r w:rsidR="00AB2661">
        <w:rPr>
          <w:sz w:val="24"/>
          <w:szCs w:val="24"/>
        </w:rPr>
        <w:t>mitigati</w:t>
      </w:r>
      <w:r w:rsidR="00964969">
        <w:rPr>
          <w:sz w:val="24"/>
          <w:szCs w:val="24"/>
        </w:rPr>
        <w:t xml:space="preserve">on of the environmental </w:t>
      </w:r>
      <w:r w:rsidR="00AB2661">
        <w:rPr>
          <w:sz w:val="24"/>
          <w:szCs w:val="24"/>
        </w:rPr>
        <w:t xml:space="preserve">impacts </w:t>
      </w:r>
      <w:r w:rsidR="00964969">
        <w:rPr>
          <w:sz w:val="24"/>
          <w:szCs w:val="24"/>
        </w:rPr>
        <w:t xml:space="preserve">deriving </w:t>
      </w:r>
      <w:r w:rsidR="00AB2661">
        <w:rPr>
          <w:sz w:val="24"/>
          <w:szCs w:val="24"/>
        </w:rPr>
        <w:t>of th</w:t>
      </w:r>
      <w:r w:rsidR="00964969">
        <w:rPr>
          <w:sz w:val="24"/>
          <w:szCs w:val="24"/>
        </w:rPr>
        <w:t xml:space="preserve">ose </w:t>
      </w:r>
      <w:r w:rsidR="00AB2661">
        <w:rPr>
          <w:sz w:val="24"/>
          <w:szCs w:val="24"/>
        </w:rPr>
        <w:t>anthropogenic activit</w:t>
      </w:r>
      <w:r w:rsidR="00964969">
        <w:rPr>
          <w:sz w:val="24"/>
          <w:szCs w:val="24"/>
        </w:rPr>
        <w:t xml:space="preserve">ies </w:t>
      </w:r>
      <w:r w:rsidR="00AB2661">
        <w:rPr>
          <w:sz w:val="24"/>
          <w:szCs w:val="24"/>
        </w:rPr>
        <w:t xml:space="preserve">is the implementation of Industrial Symbiosis practices, as part a circular economy strategy in </w:t>
      </w:r>
      <w:r w:rsidR="00AB2661">
        <w:rPr>
          <w:sz w:val="24"/>
          <w:szCs w:val="24"/>
        </w:rPr>
        <w:lastRenderedPageBreak/>
        <w:t>the area. Industrial symbiosis, as a tool of Industrial Ecology, focuses on the exchange of by-products, materials,</w:t>
      </w:r>
      <w:r w:rsidR="00964969">
        <w:rPr>
          <w:sz w:val="24"/>
          <w:szCs w:val="24"/>
        </w:rPr>
        <w:t xml:space="preserve"> </w:t>
      </w:r>
      <w:r w:rsidR="00AB2661">
        <w:rPr>
          <w:sz w:val="24"/>
          <w:szCs w:val="24"/>
        </w:rPr>
        <w:t xml:space="preserve">energy, and water, in order to achieve </w:t>
      </w:r>
      <w:r w:rsidR="00C97009">
        <w:rPr>
          <w:sz w:val="24"/>
          <w:szCs w:val="24"/>
        </w:rPr>
        <w:t>positive economic, environmental, and social results.</w:t>
      </w:r>
      <w:r w:rsidR="00AB2661">
        <w:rPr>
          <w:sz w:val="24"/>
          <w:szCs w:val="24"/>
        </w:rPr>
        <w:t xml:space="preserve"> </w:t>
      </w:r>
    </w:p>
    <w:p w14:paraId="6E060F9E" w14:textId="77777777" w:rsidR="00964969" w:rsidRDefault="00964969" w:rsidP="003417E0">
      <w:pPr>
        <w:pStyle w:val="Els-Abstract-text"/>
        <w:rPr>
          <w:sz w:val="24"/>
          <w:szCs w:val="24"/>
        </w:rPr>
      </w:pPr>
    </w:p>
    <w:p w14:paraId="731F668A" w14:textId="77777777" w:rsidR="00964969" w:rsidRDefault="00AB2661" w:rsidP="003417E0">
      <w:pPr>
        <w:pStyle w:val="Els-Abstract-text"/>
        <w:rPr>
          <w:sz w:val="24"/>
          <w:szCs w:val="24"/>
        </w:rPr>
      </w:pPr>
      <w:r>
        <w:rPr>
          <w:sz w:val="24"/>
          <w:szCs w:val="24"/>
        </w:rPr>
        <w:t xml:space="preserve">This paper aims to: </w:t>
      </w:r>
    </w:p>
    <w:p w14:paraId="1EFFE4F2" w14:textId="59AA6FC2" w:rsidR="00964969" w:rsidRDefault="00AB2661" w:rsidP="00964969">
      <w:pPr>
        <w:pStyle w:val="Els-Abstract-text"/>
        <w:numPr>
          <w:ilvl w:val="0"/>
          <w:numId w:val="31"/>
        </w:numPr>
        <w:rPr>
          <w:sz w:val="24"/>
          <w:szCs w:val="24"/>
        </w:rPr>
      </w:pPr>
      <w:r>
        <w:rPr>
          <w:sz w:val="24"/>
          <w:szCs w:val="24"/>
        </w:rPr>
        <w:t xml:space="preserve">assess </w:t>
      </w:r>
      <w:r w:rsidR="00964969">
        <w:rPr>
          <w:sz w:val="24"/>
          <w:szCs w:val="24"/>
        </w:rPr>
        <w:t xml:space="preserve">and quantify </w:t>
      </w:r>
      <w:r>
        <w:rPr>
          <w:sz w:val="24"/>
          <w:szCs w:val="24"/>
        </w:rPr>
        <w:t xml:space="preserve">the existing situation </w:t>
      </w:r>
      <w:r w:rsidR="008927B7">
        <w:rPr>
          <w:sz w:val="24"/>
          <w:szCs w:val="24"/>
        </w:rPr>
        <w:t xml:space="preserve">of carbon footprint deriving from </w:t>
      </w:r>
      <w:r>
        <w:rPr>
          <w:sz w:val="24"/>
          <w:szCs w:val="24"/>
        </w:rPr>
        <w:t>the current anthropogenic activity within the boundaries of NP-EMATH</w:t>
      </w:r>
      <w:r w:rsidR="00567C97">
        <w:rPr>
          <w:sz w:val="24"/>
          <w:szCs w:val="24"/>
        </w:rPr>
        <w:t xml:space="preserve"> by implementing the Life Cycle Assessment (LCA) method</w:t>
      </w:r>
      <w:r w:rsidR="00AB7E92">
        <w:rPr>
          <w:sz w:val="24"/>
          <w:szCs w:val="24"/>
        </w:rPr>
        <w:t xml:space="preserve">, </w:t>
      </w:r>
    </w:p>
    <w:p w14:paraId="1EFE6ACE" w14:textId="54A4378F" w:rsidR="00964969" w:rsidRDefault="00796569" w:rsidP="00964969">
      <w:pPr>
        <w:pStyle w:val="Els-Abstract-text"/>
        <w:numPr>
          <w:ilvl w:val="0"/>
          <w:numId w:val="31"/>
        </w:numPr>
        <w:rPr>
          <w:sz w:val="24"/>
          <w:szCs w:val="24"/>
        </w:rPr>
      </w:pPr>
      <w:r>
        <w:rPr>
          <w:sz w:val="24"/>
          <w:szCs w:val="24"/>
        </w:rPr>
        <w:t>identify</w:t>
      </w:r>
      <w:r w:rsidR="00AB7E92">
        <w:rPr>
          <w:sz w:val="24"/>
          <w:szCs w:val="24"/>
        </w:rPr>
        <w:t xml:space="preserve"> and propose the </w:t>
      </w:r>
      <w:r>
        <w:rPr>
          <w:sz w:val="24"/>
          <w:szCs w:val="24"/>
        </w:rPr>
        <w:t xml:space="preserve">potential </w:t>
      </w:r>
      <w:r w:rsidR="00AB7E92">
        <w:rPr>
          <w:sz w:val="24"/>
          <w:szCs w:val="24"/>
        </w:rPr>
        <w:t xml:space="preserve">implementation of symbiotic activities, based on successful examples from the literature, </w:t>
      </w:r>
      <w:r w:rsidR="00964969">
        <w:rPr>
          <w:sz w:val="24"/>
          <w:szCs w:val="24"/>
        </w:rPr>
        <w:t xml:space="preserve">and taking into consideration the particular </w:t>
      </w:r>
      <w:r w:rsidR="00AB7E92">
        <w:rPr>
          <w:sz w:val="24"/>
          <w:szCs w:val="24"/>
        </w:rPr>
        <w:t>need</w:t>
      </w:r>
      <w:r>
        <w:rPr>
          <w:sz w:val="24"/>
          <w:szCs w:val="24"/>
        </w:rPr>
        <w:t>s and characteristics</w:t>
      </w:r>
      <w:r w:rsidR="00AB7E92">
        <w:rPr>
          <w:sz w:val="24"/>
          <w:szCs w:val="24"/>
        </w:rPr>
        <w:t xml:space="preserve"> of the area, and </w:t>
      </w:r>
    </w:p>
    <w:p w14:paraId="328AA800" w14:textId="6A452A0F" w:rsidR="00964969" w:rsidRDefault="00796569" w:rsidP="00964969">
      <w:pPr>
        <w:pStyle w:val="Els-Abstract-text"/>
        <w:numPr>
          <w:ilvl w:val="0"/>
          <w:numId w:val="31"/>
        </w:numPr>
        <w:rPr>
          <w:sz w:val="24"/>
          <w:szCs w:val="24"/>
        </w:rPr>
      </w:pPr>
      <w:r>
        <w:rPr>
          <w:sz w:val="24"/>
          <w:szCs w:val="24"/>
        </w:rPr>
        <w:t xml:space="preserve">examine the </w:t>
      </w:r>
      <w:r w:rsidR="008927B7">
        <w:rPr>
          <w:sz w:val="24"/>
          <w:szCs w:val="24"/>
        </w:rPr>
        <w:t>potential carbon footprint reduction</w:t>
      </w:r>
      <w:r>
        <w:rPr>
          <w:sz w:val="24"/>
          <w:szCs w:val="24"/>
        </w:rPr>
        <w:t xml:space="preserve"> </w:t>
      </w:r>
      <w:r w:rsidR="008927B7">
        <w:rPr>
          <w:sz w:val="24"/>
          <w:szCs w:val="24"/>
        </w:rPr>
        <w:t xml:space="preserve">by the implementation of the identified </w:t>
      </w:r>
      <w:r w:rsidR="00964969">
        <w:rPr>
          <w:sz w:val="24"/>
          <w:szCs w:val="24"/>
        </w:rPr>
        <w:t xml:space="preserve">and proposed </w:t>
      </w:r>
      <w:r w:rsidR="008927B7">
        <w:rPr>
          <w:sz w:val="24"/>
          <w:szCs w:val="24"/>
        </w:rPr>
        <w:t xml:space="preserve">symbiotic activities, </w:t>
      </w:r>
      <w:r>
        <w:rPr>
          <w:sz w:val="24"/>
          <w:szCs w:val="24"/>
        </w:rPr>
        <w:t xml:space="preserve">comparing the existing situation with the </w:t>
      </w:r>
      <w:r w:rsidR="00964969">
        <w:rPr>
          <w:sz w:val="24"/>
          <w:szCs w:val="24"/>
        </w:rPr>
        <w:t xml:space="preserve">proposed </w:t>
      </w:r>
      <w:r>
        <w:rPr>
          <w:sz w:val="24"/>
          <w:szCs w:val="24"/>
        </w:rPr>
        <w:t>symbiotic scenario</w:t>
      </w:r>
      <w:r w:rsidR="001927EF">
        <w:rPr>
          <w:sz w:val="24"/>
          <w:szCs w:val="24"/>
        </w:rPr>
        <w:t xml:space="preserve"> utilizing</w:t>
      </w:r>
      <w:r w:rsidR="00567C97">
        <w:rPr>
          <w:sz w:val="24"/>
          <w:szCs w:val="24"/>
        </w:rPr>
        <w:t xml:space="preserve"> again</w:t>
      </w:r>
      <w:r w:rsidR="001927EF">
        <w:rPr>
          <w:sz w:val="24"/>
          <w:szCs w:val="24"/>
        </w:rPr>
        <w:t xml:space="preserve"> the method of Life Cycle Assessment.</w:t>
      </w:r>
      <w:r w:rsidR="00567C97">
        <w:rPr>
          <w:sz w:val="24"/>
          <w:szCs w:val="24"/>
        </w:rPr>
        <w:t xml:space="preserve"> </w:t>
      </w:r>
    </w:p>
    <w:p w14:paraId="3C5E21FE" w14:textId="77777777" w:rsidR="00964969" w:rsidRDefault="00964969" w:rsidP="003417E0">
      <w:pPr>
        <w:pStyle w:val="Els-Abstract-text"/>
        <w:rPr>
          <w:sz w:val="24"/>
          <w:szCs w:val="24"/>
        </w:rPr>
      </w:pPr>
    </w:p>
    <w:p w14:paraId="7D372BC3" w14:textId="03D2CBE8" w:rsidR="00BD31C1" w:rsidRDefault="00567C97" w:rsidP="003417E0">
      <w:pPr>
        <w:pStyle w:val="Els-Abstract-text"/>
        <w:rPr>
          <w:sz w:val="24"/>
          <w:szCs w:val="24"/>
        </w:rPr>
      </w:pPr>
      <w:r>
        <w:rPr>
          <w:sz w:val="24"/>
          <w:szCs w:val="24"/>
        </w:rPr>
        <w:t xml:space="preserve">The results of the first LCA study regarding the existing situation </w:t>
      </w:r>
      <w:r w:rsidR="00487FCE">
        <w:rPr>
          <w:sz w:val="24"/>
          <w:szCs w:val="24"/>
        </w:rPr>
        <w:t xml:space="preserve">showcased that the Carbon Footprint within the boundaries of the protected </w:t>
      </w:r>
      <w:r w:rsidR="003417E0">
        <w:rPr>
          <w:sz w:val="24"/>
          <w:szCs w:val="24"/>
        </w:rPr>
        <w:t>area is up to 221</w:t>
      </w:r>
      <w:r w:rsidR="00BD31C1">
        <w:rPr>
          <w:sz w:val="24"/>
          <w:szCs w:val="24"/>
        </w:rPr>
        <w:t xml:space="preserve"> </w:t>
      </w:r>
      <w:proofErr w:type="spellStart"/>
      <w:r w:rsidR="00BD0F92">
        <w:rPr>
          <w:sz w:val="24"/>
          <w:szCs w:val="24"/>
        </w:rPr>
        <w:t>kt</w:t>
      </w:r>
      <w:proofErr w:type="spellEnd"/>
      <w:r w:rsidR="00BD0F92">
        <w:rPr>
          <w:sz w:val="24"/>
          <w:szCs w:val="24"/>
        </w:rPr>
        <w:t xml:space="preserve"> of</w:t>
      </w:r>
      <w:r w:rsidR="003417E0" w:rsidRPr="003417E0">
        <w:rPr>
          <w:sz w:val="24"/>
          <w:szCs w:val="24"/>
        </w:rPr>
        <w:t xml:space="preserve"> CO2 eq</w:t>
      </w:r>
      <w:r w:rsidR="003417E0">
        <w:rPr>
          <w:sz w:val="24"/>
          <w:szCs w:val="24"/>
        </w:rPr>
        <w:t xml:space="preserve">. </w:t>
      </w:r>
      <w:r w:rsidR="00BD0F92">
        <w:rPr>
          <w:sz w:val="24"/>
          <w:szCs w:val="24"/>
        </w:rPr>
        <w:t>The main activities contributing to the carbon footprint are the electricity and heating oil consumption.</w:t>
      </w:r>
      <w:r w:rsidR="008927B7">
        <w:rPr>
          <w:sz w:val="24"/>
          <w:szCs w:val="24"/>
        </w:rPr>
        <w:t xml:space="preserve"> Regarding the symbiotic case study, through an extensive literature review, and </w:t>
      </w:r>
      <w:r w:rsidR="00386586">
        <w:rPr>
          <w:sz w:val="24"/>
          <w:szCs w:val="24"/>
        </w:rPr>
        <w:t>considering</w:t>
      </w:r>
      <w:r w:rsidR="008927B7">
        <w:rPr>
          <w:sz w:val="24"/>
          <w:szCs w:val="24"/>
        </w:rPr>
        <w:t xml:space="preserve"> the </w:t>
      </w:r>
      <w:r w:rsidR="00BD31C1">
        <w:rPr>
          <w:sz w:val="24"/>
          <w:szCs w:val="24"/>
        </w:rPr>
        <w:t xml:space="preserve">specific </w:t>
      </w:r>
      <w:r w:rsidR="008927B7">
        <w:rPr>
          <w:sz w:val="24"/>
          <w:szCs w:val="24"/>
        </w:rPr>
        <w:t xml:space="preserve">characteristics of the area, sixteen (16) potential symbiotic activities were identified. These activities include </w:t>
      </w:r>
      <w:r w:rsidR="008927B7" w:rsidRPr="008927B7">
        <w:rPr>
          <w:sz w:val="24"/>
          <w:szCs w:val="24"/>
        </w:rPr>
        <w:t>CO</w:t>
      </w:r>
      <w:r w:rsidR="008927B7" w:rsidRPr="008927B7">
        <w:rPr>
          <w:sz w:val="24"/>
          <w:szCs w:val="24"/>
          <w:vertAlign w:val="subscript"/>
        </w:rPr>
        <w:t>2</w:t>
      </w:r>
      <w:r w:rsidR="008927B7" w:rsidRPr="008927B7">
        <w:rPr>
          <w:sz w:val="24"/>
          <w:szCs w:val="24"/>
        </w:rPr>
        <w:t xml:space="preserve"> capture</w:t>
      </w:r>
      <w:r w:rsidR="008927B7">
        <w:rPr>
          <w:sz w:val="24"/>
          <w:szCs w:val="24"/>
        </w:rPr>
        <w:t xml:space="preserve"> from the nearby industrial zone</w:t>
      </w:r>
      <w:r w:rsidR="008927B7" w:rsidRPr="008927B7">
        <w:rPr>
          <w:sz w:val="24"/>
          <w:szCs w:val="24"/>
        </w:rPr>
        <w:t xml:space="preserve"> and reuse</w:t>
      </w:r>
      <w:r w:rsidR="008927B7">
        <w:rPr>
          <w:sz w:val="24"/>
          <w:szCs w:val="24"/>
        </w:rPr>
        <w:t xml:space="preserve"> for greenhouse enrichment, development of a local Biomass Power Plant utilizing the available amount of biomass in the area, reuse of industrial wastewater for district heating, as well as the development of an agricultural based symbiotic network. </w:t>
      </w:r>
      <w:r w:rsidR="008927B7" w:rsidRPr="008927B7">
        <w:rPr>
          <w:sz w:val="24"/>
          <w:szCs w:val="24"/>
        </w:rPr>
        <w:t xml:space="preserve">The proposed activities can lead to an estimated reduction of 4,320 </w:t>
      </w:r>
      <w:proofErr w:type="spellStart"/>
      <w:r w:rsidR="008927B7" w:rsidRPr="008927B7">
        <w:rPr>
          <w:sz w:val="24"/>
          <w:szCs w:val="24"/>
        </w:rPr>
        <w:t>tonnes</w:t>
      </w:r>
      <w:proofErr w:type="spellEnd"/>
      <w:r w:rsidR="008927B7" w:rsidRPr="008927B7">
        <w:rPr>
          <w:sz w:val="24"/>
          <w:szCs w:val="24"/>
        </w:rPr>
        <w:t xml:space="preserve"> CO</w:t>
      </w:r>
      <w:r w:rsidR="008927B7" w:rsidRPr="008927B7">
        <w:rPr>
          <w:sz w:val="24"/>
          <w:szCs w:val="24"/>
          <w:vertAlign w:val="subscript"/>
        </w:rPr>
        <w:t>2</w:t>
      </w:r>
      <w:r w:rsidR="008927B7" w:rsidRPr="008927B7">
        <w:rPr>
          <w:sz w:val="24"/>
          <w:szCs w:val="24"/>
        </w:rPr>
        <w:t xml:space="preserve"> and 87,250</w:t>
      </w:r>
      <w:r w:rsidR="00BD31C1">
        <w:rPr>
          <w:sz w:val="24"/>
          <w:szCs w:val="24"/>
        </w:rPr>
        <w:t xml:space="preserve"> </w:t>
      </w:r>
      <w:r w:rsidR="008927B7" w:rsidRPr="008927B7">
        <w:rPr>
          <w:sz w:val="24"/>
          <w:szCs w:val="24"/>
        </w:rPr>
        <w:t>MWh of oil for heating</w:t>
      </w:r>
      <w:r w:rsidR="008927B7">
        <w:rPr>
          <w:sz w:val="24"/>
          <w:szCs w:val="24"/>
        </w:rPr>
        <w:t xml:space="preserve">. Utilizing these results, the second LCA was conducted comparing the carbon footprint of the symbiotic scenario with the existing situation. </w:t>
      </w:r>
      <w:r w:rsidR="00180DD3">
        <w:rPr>
          <w:sz w:val="24"/>
          <w:szCs w:val="24"/>
        </w:rPr>
        <w:t xml:space="preserve">The implementation of the symbiotic activities could potentially lead to a reduction of up to 36,3 </w:t>
      </w:r>
      <w:proofErr w:type="spellStart"/>
      <w:r w:rsidR="00180DD3">
        <w:rPr>
          <w:sz w:val="24"/>
          <w:szCs w:val="24"/>
        </w:rPr>
        <w:t>kt</w:t>
      </w:r>
      <w:proofErr w:type="spellEnd"/>
      <w:r w:rsidR="00180DD3">
        <w:rPr>
          <w:sz w:val="24"/>
          <w:szCs w:val="24"/>
        </w:rPr>
        <w:t xml:space="preserve"> of</w:t>
      </w:r>
      <w:r w:rsidR="00180DD3" w:rsidRPr="003417E0">
        <w:rPr>
          <w:sz w:val="24"/>
          <w:szCs w:val="24"/>
        </w:rPr>
        <w:t xml:space="preserve"> CO2 </w:t>
      </w:r>
      <w:proofErr w:type="spellStart"/>
      <w:r w:rsidR="00180DD3" w:rsidRPr="003417E0">
        <w:rPr>
          <w:sz w:val="24"/>
          <w:szCs w:val="24"/>
        </w:rPr>
        <w:t>eq</w:t>
      </w:r>
      <w:proofErr w:type="spellEnd"/>
      <w:r w:rsidR="00180DD3">
        <w:rPr>
          <w:sz w:val="24"/>
          <w:szCs w:val="24"/>
        </w:rPr>
        <w:t xml:space="preserve">, which is approximately a reduction of 16,5%. It should be noted </w:t>
      </w:r>
      <w:r w:rsidR="00BD31C1">
        <w:rPr>
          <w:sz w:val="24"/>
          <w:szCs w:val="24"/>
        </w:rPr>
        <w:t xml:space="preserve">however, </w:t>
      </w:r>
      <w:r w:rsidR="00180DD3">
        <w:rPr>
          <w:sz w:val="24"/>
          <w:szCs w:val="24"/>
        </w:rPr>
        <w:t xml:space="preserve">that this result is under </w:t>
      </w:r>
      <w:r w:rsidR="00BD31C1">
        <w:rPr>
          <w:sz w:val="24"/>
          <w:szCs w:val="24"/>
        </w:rPr>
        <w:t>re-</w:t>
      </w:r>
      <w:r w:rsidR="00180DD3">
        <w:rPr>
          <w:sz w:val="24"/>
          <w:szCs w:val="24"/>
        </w:rPr>
        <w:t>calculat</w:t>
      </w:r>
      <w:r w:rsidR="00BD31C1">
        <w:rPr>
          <w:sz w:val="24"/>
          <w:szCs w:val="24"/>
        </w:rPr>
        <w:t xml:space="preserve">ion </w:t>
      </w:r>
      <w:r w:rsidR="00180DD3">
        <w:rPr>
          <w:sz w:val="24"/>
          <w:szCs w:val="24"/>
        </w:rPr>
        <w:t>in order to represent a more realistic approach. By capturing and reusing further amounts of CO</w:t>
      </w:r>
      <w:r w:rsidR="00180DD3" w:rsidRPr="00180DD3">
        <w:rPr>
          <w:sz w:val="24"/>
          <w:szCs w:val="24"/>
          <w:vertAlign w:val="subscript"/>
        </w:rPr>
        <w:t>2</w:t>
      </w:r>
      <w:r w:rsidR="00180DD3">
        <w:rPr>
          <w:sz w:val="24"/>
          <w:szCs w:val="24"/>
          <w:vertAlign w:val="subscript"/>
        </w:rPr>
        <w:t xml:space="preserve"> </w:t>
      </w:r>
      <w:r w:rsidR="00180DD3">
        <w:rPr>
          <w:sz w:val="24"/>
          <w:szCs w:val="24"/>
        </w:rPr>
        <w:t xml:space="preserve">from the </w:t>
      </w:r>
      <w:r w:rsidR="00BD31C1">
        <w:rPr>
          <w:sz w:val="24"/>
          <w:szCs w:val="24"/>
        </w:rPr>
        <w:t xml:space="preserve">adjacent </w:t>
      </w:r>
      <w:r w:rsidR="00180DD3">
        <w:rPr>
          <w:sz w:val="24"/>
          <w:szCs w:val="24"/>
        </w:rPr>
        <w:t xml:space="preserve">industrial zone, the reduction could </w:t>
      </w:r>
      <w:r w:rsidR="00BD31C1">
        <w:rPr>
          <w:sz w:val="24"/>
          <w:szCs w:val="24"/>
        </w:rPr>
        <w:t xml:space="preserve">increase even further. </w:t>
      </w:r>
      <w:r w:rsidR="00C4223A">
        <w:rPr>
          <w:sz w:val="24"/>
          <w:szCs w:val="24"/>
        </w:rPr>
        <w:t>It is also notable</w:t>
      </w:r>
      <w:r w:rsidR="00BD31C1">
        <w:rPr>
          <w:sz w:val="24"/>
          <w:szCs w:val="24"/>
        </w:rPr>
        <w:t>,</w:t>
      </w:r>
      <w:r w:rsidR="00C4223A">
        <w:rPr>
          <w:sz w:val="24"/>
          <w:szCs w:val="24"/>
        </w:rPr>
        <w:t xml:space="preserve"> that the implementation of circular economy practices could lead to economic and social benefits, by creating new job opportunities, strengthening the current agricultural production, and promoting a healthier lifestyle for the residents within the area. </w:t>
      </w:r>
    </w:p>
    <w:p w14:paraId="5D893423" w14:textId="77777777" w:rsidR="00BD31C1" w:rsidRDefault="00BD31C1" w:rsidP="003417E0">
      <w:pPr>
        <w:pStyle w:val="Els-Abstract-text"/>
        <w:rPr>
          <w:sz w:val="24"/>
          <w:szCs w:val="24"/>
        </w:rPr>
      </w:pPr>
    </w:p>
    <w:p w14:paraId="679DA278" w14:textId="470A28E1" w:rsidR="00C65054" w:rsidRDefault="00B61712" w:rsidP="003417E0">
      <w:pPr>
        <w:pStyle w:val="Els-Abstract-text"/>
        <w:rPr>
          <w:sz w:val="24"/>
          <w:szCs w:val="24"/>
        </w:rPr>
      </w:pPr>
      <w:r>
        <w:rPr>
          <w:sz w:val="24"/>
          <w:szCs w:val="24"/>
        </w:rPr>
        <w:t xml:space="preserve">Overall, following a circular economy strategy by implementing Industrial Symbiosis practices in the area, could have a positive impact on preserving the biodiversity and natural ecosystem of the protected area, while mitigating the </w:t>
      </w:r>
      <w:r w:rsidR="00386586">
        <w:rPr>
          <w:sz w:val="24"/>
          <w:szCs w:val="24"/>
        </w:rPr>
        <w:t xml:space="preserve">environmental footprint from </w:t>
      </w:r>
      <w:r>
        <w:rPr>
          <w:sz w:val="24"/>
          <w:szCs w:val="24"/>
        </w:rPr>
        <w:t xml:space="preserve">anthropogenic activities, and promoting </w:t>
      </w:r>
      <w:r w:rsidR="00386586">
        <w:rPr>
          <w:sz w:val="24"/>
          <w:szCs w:val="24"/>
        </w:rPr>
        <w:t>a more harmonious</w:t>
      </w:r>
      <w:r w:rsidR="00386586" w:rsidRPr="00386586">
        <w:rPr>
          <w:sz w:val="24"/>
          <w:szCs w:val="24"/>
        </w:rPr>
        <w:t xml:space="preserve"> </w:t>
      </w:r>
      <w:r w:rsidR="00386586">
        <w:rPr>
          <w:sz w:val="24"/>
          <w:szCs w:val="24"/>
        </w:rPr>
        <w:t xml:space="preserve">long-term </w:t>
      </w:r>
      <w:r>
        <w:rPr>
          <w:sz w:val="24"/>
          <w:szCs w:val="24"/>
        </w:rPr>
        <w:t xml:space="preserve">co-existence between </w:t>
      </w:r>
      <w:r w:rsidR="00386586">
        <w:rPr>
          <w:sz w:val="24"/>
          <w:szCs w:val="24"/>
        </w:rPr>
        <w:t>natural capital and anthropogenic activities.</w:t>
      </w:r>
      <w:r>
        <w:rPr>
          <w:sz w:val="24"/>
          <w:szCs w:val="24"/>
        </w:rPr>
        <w:t xml:space="preserve"> </w:t>
      </w:r>
    </w:p>
    <w:p w14:paraId="22CB814F" w14:textId="77777777" w:rsidR="00C65054" w:rsidRDefault="00C65054" w:rsidP="003417E0">
      <w:pPr>
        <w:pStyle w:val="Els-Abstract-text"/>
        <w:rPr>
          <w:sz w:val="24"/>
          <w:szCs w:val="24"/>
        </w:rPr>
      </w:pPr>
    </w:p>
    <w:p w14:paraId="71D7C7DB" w14:textId="7DDE77DD" w:rsidR="0029773D" w:rsidRPr="00C4223A" w:rsidRDefault="00C65054" w:rsidP="003417E0">
      <w:pPr>
        <w:pStyle w:val="Els-Abstract-text"/>
      </w:pPr>
      <w:r>
        <w:rPr>
          <w:sz w:val="24"/>
          <w:szCs w:val="24"/>
        </w:rPr>
        <w:t>JEL classifications:</w:t>
      </w:r>
      <w:r w:rsidR="00AB3AF1">
        <w:rPr>
          <w:sz w:val="24"/>
          <w:szCs w:val="24"/>
        </w:rPr>
        <w:t xml:space="preserve"> O13,</w:t>
      </w:r>
      <w:r>
        <w:rPr>
          <w:sz w:val="24"/>
          <w:szCs w:val="24"/>
        </w:rPr>
        <w:t xml:space="preserve"> Q51, Q56, Q57</w:t>
      </w:r>
      <w:r w:rsidR="00B61712">
        <w:rPr>
          <w:sz w:val="24"/>
          <w:szCs w:val="24"/>
        </w:rPr>
        <w:t xml:space="preserve">  </w:t>
      </w:r>
    </w:p>
    <w:p w14:paraId="703401B5" w14:textId="77777777" w:rsidR="0029773D" w:rsidRPr="007D76BD" w:rsidRDefault="0029773D">
      <w:pPr>
        <w:rPr>
          <w:sz w:val="22"/>
          <w:szCs w:val="22"/>
          <w:lang w:val="en-US"/>
        </w:rPr>
      </w:pPr>
    </w:p>
    <w:p w14:paraId="16326655" w14:textId="28DD244D" w:rsidR="0029773D" w:rsidRPr="00AB3AF1" w:rsidRDefault="007D76BD">
      <w:pPr>
        <w:pStyle w:val="Els-keywords"/>
        <w:rPr>
          <w:sz w:val="24"/>
          <w:szCs w:val="24"/>
        </w:rPr>
      </w:pPr>
      <w:r w:rsidRPr="00AB3AF1">
        <w:rPr>
          <w:sz w:val="24"/>
          <w:szCs w:val="24"/>
        </w:rPr>
        <w:t xml:space="preserve">Keywords: </w:t>
      </w:r>
      <w:r w:rsidR="003D6D8E" w:rsidRPr="00AB3AF1">
        <w:rPr>
          <w:sz w:val="24"/>
          <w:szCs w:val="24"/>
        </w:rPr>
        <w:t>circular economy; industrial symbiosis; protected areas; life cycle assessment</w:t>
      </w:r>
    </w:p>
    <w:p w14:paraId="7D1275FB" w14:textId="77777777" w:rsidR="0029773D" w:rsidRPr="007D76BD" w:rsidRDefault="0029773D">
      <w:pPr>
        <w:rPr>
          <w:sz w:val="22"/>
          <w:szCs w:val="22"/>
        </w:rPr>
      </w:pPr>
    </w:p>
    <w:sectPr w:rsidR="0029773D" w:rsidRPr="007D76BD">
      <w:headerReference w:type="even" r:id="rId9"/>
      <w:headerReference w:type="default" r:id="rId10"/>
      <w:footnotePr>
        <w:numFmt w:val="chicago"/>
      </w:footnotePr>
      <w:type w:val="nextColumn"/>
      <w:pgSz w:w="10773" w:h="14742" w:code="93"/>
      <w:pgMar w:top="754" w:right="1191" w:bottom="2126" w:left="737" w:header="907" w:footer="1202"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D85B" w14:textId="77777777" w:rsidR="002958B8" w:rsidRDefault="002958B8">
      <w:r>
        <w:separator/>
      </w:r>
    </w:p>
    <w:p w14:paraId="281E121F" w14:textId="77777777" w:rsidR="002958B8" w:rsidRDefault="002958B8"/>
  </w:endnote>
  <w:endnote w:type="continuationSeparator" w:id="0">
    <w:p w14:paraId="2809D4B1" w14:textId="77777777" w:rsidR="002958B8" w:rsidRDefault="002958B8">
      <w:r>
        <w:continuationSeparator/>
      </w:r>
    </w:p>
    <w:p w14:paraId="1C314D10" w14:textId="77777777" w:rsidR="002958B8" w:rsidRDefault="0029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Univers">
    <w:panose1 w:val="020B0604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88539" w14:textId="77777777" w:rsidR="002958B8" w:rsidRDefault="002958B8">
      <w:pPr>
        <w:pStyle w:val="Footer"/>
        <w:rPr>
          <w:lang w:val="en-GB"/>
        </w:rPr>
      </w:pPr>
      <w:r>
        <w:drawing>
          <wp:inline distT="0" distB="0" distL="0" distR="0" wp14:anchorId="100AACB0" wp14:editId="048F8407">
            <wp:extent cx="563880" cy="22860"/>
            <wp:effectExtent l="19050" t="0" r="7620" b="0"/>
            <wp:docPr id="3"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srcRect/>
                    <a:stretch>
                      <a:fillRect/>
                    </a:stretch>
                  </pic:blipFill>
                  <pic:spPr bwMode="auto">
                    <a:xfrm>
                      <a:off x="0" y="0"/>
                      <a:ext cx="563880" cy="22860"/>
                    </a:xfrm>
                    <a:prstGeom prst="rect">
                      <a:avLst/>
                    </a:prstGeom>
                    <a:noFill/>
                    <a:ln w="9525">
                      <a:noFill/>
                      <a:miter lim="800000"/>
                      <a:headEnd/>
                      <a:tailEnd/>
                    </a:ln>
                  </pic:spPr>
                </pic:pic>
              </a:graphicData>
            </a:graphic>
          </wp:inline>
        </w:drawing>
      </w:r>
    </w:p>
    <w:p w14:paraId="05BBC895" w14:textId="77777777" w:rsidR="002958B8" w:rsidRDefault="002958B8"/>
  </w:footnote>
  <w:footnote w:type="continuationSeparator" w:id="0">
    <w:p w14:paraId="7FB489B7" w14:textId="77777777" w:rsidR="002958B8" w:rsidRDefault="002958B8">
      <w:r>
        <w:continuationSeparator/>
      </w:r>
    </w:p>
    <w:p w14:paraId="4C1439D9" w14:textId="77777777" w:rsidR="002958B8" w:rsidRDefault="00295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F638" w14:textId="5062061B" w:rsidR="0029773D" w:rsidRDefault="0029773D">
    <w:pPr>
      <w:pStyle w:val="Header"/>
      <w:tabs>
        <w:tab w:val="center" w:pos="4920"/>
      </w:tabs>
      <w:rPr>
        <w:i w:val="0"/>
        <w:iC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DAA7" w14:textId="77777777" w:rsidR="0029773D" w:rsidRDefault="0029773D">
    <w:pPr>
      <w:pStyle w:val="Header"/>
      <w:tabs>
        <w:tab w:val="center" w:pos="4920"/>
      </w:tabs>
    </w:pPr>
    <w:r>
      <w:rPr>
        <w:i w:val="0"/>
        <w:iCs/>
      </w:rPr>
      <w:tab/>
    </w:r>
    <w:r>
      <w:fldChar w:fldCharType="begin"/>
    </w:r>
    <w:r>
      <w:instrText xml:space="preserve"> MACROBUTTON NoMacro Author name </w:instrText>
    </w:r>
    <w:r>
      <w:fldChar w:fldCharType="end"/>
    </w:r>
    <w:r>
      <w:t>/ Procedia Economics and Finance 00 (</w:t>
    </w:r>
    <w:r>
      <w:rPr>
        <w:rFonts w:hint="eastAsia"/>
        <w:lang w:eastAsia="zh-CN"/>
      </w:rPr>
      <w:t>201</w:t>
    </w:r>
    <w:r>
      <w:rPr>
        <w:lang w:eastAsia="zh-CN"/>
      </w:rPr>
      <w:t>2</w:t>
    </w:r>
    <w:r>
      <w:t>) 000–000</w:t>
    </w:r>
    <w:r>
      <w:tab/>
    </w:r>
    <w:r>
      <w:rPr>
        <w:rStyle w:val="PageNumber"/>
        <w:i w:val="0"/>
      </w:rPr>
      <w:fldChar w:fldCharType="begin"/>
    </w:r>
    <w:r>
      <w:rPr>
        <w:rStyle w:val="PageNumber"/>
        <w:i w:val="0"/>
      </w:rPr>
      <w:instrText xml:space="preserve"> PAGE </w:instrText>
    </w:r>
    <w:r>
      <w:rPr>
        <w:rStyle w:val="PageNumber"/>
        <w:i w:val="0"/>
      </w:rPr>
      <w:fldChar w:fldCharType="separate"/>
    </w:r>
    <w:r w:rsidR="00B16D43">
      <w:rPr>
        <w:rStyle w:val="PageNumber"/>
        <w:i w:val="0"/>
      </w:rPr>
      <w:t>5</w:t>
    </w:r>
    <w:r>
      <w:rPr>
        <w:rStyle w:val="PageNumbe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A5"/>
    <w:multiLevelType w:val="hybridMultilevel"/>
    <w:tmpl w:val="E5A6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A651D9E"/>
    <w:multiLevelType w:val="hybridMultilevel"/>
    <w:tmpl w:val="5666E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7" w15:restartNumberingAfterBreak="0">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3"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8"/>
  </w:num>
  <w:num w:numId="4">
    <w:abstractNumId w:val="8"/>
  </w:num>
  <w:num w:numId="5">
    <w:abstractNumId w:val="1"/>
  </w:num>
  <w:num w:numId="6">
    <w:abstractNumId w:val="3"/>
  </w:num>
  <w:num w:numId="7">
    <w:abstractNumId w:val="9"/>
  </w:num>
  <w:num w:numId="8">
    <w:abstractNumId w:val="2"/>
  </w:num>
  <w:num w:numId="9">
    <w:abstractNumId w:val="6"/>
  </w:num>
  <w:num w:numId="10">
    <w:abstractNumId w:val="13"/>
  </w:num>
  <w:num w:numId="11">
    <w:abstractNumId w:val="12"/>
  </w:num>
  <w:num w:numId="12">
    <w:abstractNumId w:val="8"/>
  </w:num>
  <w:num w:numId="13">
    <w:abstractNumId w:val="8"/>
  </w:num>
  <w:num w:numId="14">
    <w:abstractNumId w:val="8"/>
  </w:num>
  <w:num w:numId="15">
    <w:abstractNumId w:val="8"/>
  </w:num>
  <w:num w:numId="16">
    <w:abstractNumId w:val="1"/>
  </w:num>
  <w:num w:numId="17">
    <w:abstractNumId w:val="3"/>
  </w:num>
  <w:num w:numId="18">
    <w:abstractNumId w:val="9"/>
  </w:num>
  <w:num w:numId="19">
    <w:abstractNumId w:val="2"/>
  </w:num>
  <w:num w:numId="20">
    <w:abstractNumId w:val="6"/>
  </w:num>
  <w:num w:numId="21">
    <w:abstractNumId w:val="1"/>
  </w:num>
  <w:num w:numId="22">
    <w:abstractNumId w:val="8"/>
  </w:num>
  <w:num w:numId="23">
    <w:abstractNumId w:val="8"/>
  </w:num>
  <w:num w:numId="24">
    <w:abstractNumId w:val="8"/>
  </w:num>
  <w:num w:numId="25">
    <w:abstractNumId w:val="8"/>
  </w:num>
  <w:num w:numId="26">
    <w:abstractNumId w:val="10"/>
  </w:num>
  <w:num w:numId="27">
    <w:abstractNumId w:val="11"/>
  </w:num>
  <w:num w:numId="28">
    <w:abstractNumId w:val="5"/>
  </w:num>
  <w:num w:numId="29">
    <w:abstractNumId w:val="7"/>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PostScriptOverText/>
  <w:embedTrueTypeFonts/>
  <w:proofState w:spelling="clean" w:grammar="clean"/>
  <w:attachedTemplate r:id="rId1"/>
  <w:defaultTabStop w:val="720"/>
  <w:evenAndOddHeaders/>
  <w:drawingGridHorizontalSpacing w:val="120"/>
  <w:drawingGridVerticalSpacing w:val="12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D3"/>
    <w:rsid w:val="00015758"/>
    <w:rsid w:val="001172DB"/>
    <w:rsid w:val="0014565C"/>
    <w:rsid w:val="00156533"/>
    <w:rsid w:val="00180DD3"/>
    <w:rsid w:val="001927EF"/>
    <w:rsid w:val="00204C66"/>
    <w:rsid w:val="002914EB"/>
    <w:rsid w:val="002958B8"/>
    <w:rsid w:val="0029773D"/>
    <w:rsid w:val="003417E0"/>
    <w:rsid w:val="00386586"/>
    <w:rsid w:val="003D00D0"/>
    <w:rsid w:val="003D032C"/>
    <w:rsid w:val="003D6D8E"/>
    <w:rsid w:val="003F0D74"/>
    <w:rsid w:val="00487FCE"/>
    <w:rsid w:val="005425F9"/>
    <w:rsid w:val="005538F7"/>
    <w:rsid w:val="00564204"/>
    <w:rsid w:val="0056765A"/>
    <w:rsid w:val="00567C97"/>
    <w:rsid w:val="00791551"/>
    <w:rsid w:val="00796569"/>
    <w:rsid w:val="007A430C"/>
    <w:rsid w:val="007B10D9"/>
    <w:rsid w:val="007D76BD"/>
    <w:rsid w:val="008605D3"/>
    <w:rsid w:val="008927B7"/>
    <w:rsid w:val="009211F8"/>
    <w:rsid w:val="00964969"/>
    <w:rsid w:val="00972DD7"/>
    <w:rsid w:val="009A3519"/>
    <w:rsid w:val="00AB2661"/>
    <w:rsid w:val="00AB3AF1"/>
    <w:rsid w:val="00AB6832"/>
    <w:rsid w:val="00AB7E92"/>
    <w:rsid w:val="00AF0F57"/>
    <w:rsid w:val="00AF4C39"/>
    <w:rsid w:val="00B16D43"/>
    <w:rsid w:val="00B61712"/>
    <w:rsid w:val="00BD0F92"/>
    <w:rsid w:val="00BD31C1"/>
    <w:rsid w:val="00BE7D18"/>
    <w:rsid w:val="00C27C1A"/>
    <w:rsid w:val="00C4223A"/>
    <w:rsid w:val="00C609BE"/>
    <w:rsid w:val="00C65054"/>
    <w:rsid w:val="00C97009"/>
    <w:rsid w:val="00CD7A22"/>
    <w:rsid w:val="00CE0E74"/>
    <w:rsid w:val="00D16C1C"/>
    <w:rsid w:val="00D85230"/>
    <w:rsid w:val="00DB484A"/>
    <w:rsid w:val="00DD2186"/>
    <w:rsid w:val="00F5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58C7B"/>
  <w15:docId w15:val="{8EBA5D82-4C8C-4972-B0F8-C68361FC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lang w:val="en-GB"/>
    </w:rPr>
  </w:style>
  <w:style w:type="paragraph" w:styleId="Heading3">
    <w:name w:val="heading 3"/>
    <w:basedOn w:val="Normal"/>
    <w:next w:val="Normal"/>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22"/>
      </w:numPr>
      <w:suppressAutoHyphens/>
      <w:spacing w:before="240" w:after="240" w:line="240" w:lineRule="exact"/>
    </w:pPr>
    <w:rPr>
      <w:b/>
    </w:rPr>
  </w:style>
  <w:style w:type="paragraph" w:customStyle="1" w:styleId="Els-2ndorder-head">
    <w:name w:val="Els-2ndorder-head"/>
    <w:next w:val="Els-body-text"/>
    <w:pPr>
      <w:keepNext/>
      <w:numPr>
        <w:ilvl w:val="1"/>
        <w:numId w:val="23"/>
      </w:numPr>
      <w:suppressAutoHyphens/>
      <w:spacing w:before="240" w:after="240" w:line="240" w:lineRule="exact"/>
    </w:pPr>
    <w:rPr>
      <w:i/>
    </w:rPr>
  </w:style>
  <w:style w:type="paragraph" w:customStyle="1" w:styleId="Els-3rdorder-head">
    <w:name w:val="Els-3rdorder-head"/>
    <w:next w:val="Els-body-text"/>
    <w:pPr>
      <w:keepNext/>
      <w:numPr>
        <w:ilvl w:val="2"/>
        <w:numId w:val="24"/>
      </w:numPr>
      <w:suppressAutoHyphens/>
      <w:spacing w:before="240" w:line="240" w:lineRule="exact"/>
    </w:pPr>
    <w:rPr>
      <w:i/>
    </w:rPr>
  </w:style>
  <w:style w:type="paragraph" w:customStyle="1" w:styleId="Els-4thorder-head">
    <w:name w:val="Els-4thorder-head"/>
    <w:next w:val="Els-body-text"/>
    <w:pPr>
      <w:keepNext/>
      <w:numPr>
        <w:ilvl w:val="3"/>
        <w:numId w:val="25"/>
      </w:numPr>
      <w:suppressAutoHyphens/>
      <w:spacing w:before="240" w:line="240" w:lineRule="exact"/>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numPr>
        <w:numId w:val="17"/>
      </w:numPr>
      <w:spacing w:before="480" w:after="240" w:line="220" w:lineRule="exact"/>
    </w:pPr>
    <w:rPr>
      <w:b/>
    </w:rPr>
  </w:style>
  <w:style w:type="paragraph" w:customStyle="1" w:styleId="Els-appendixsubhead">
    <w:name w:val="Els-appendixsubhead"/>
    <w:next w:val="Normal"/>
    <w:pPr>
      <w:numPr>
        <w:ilvl w:val="1"/>
        <w:numId w:val="18"/>
      </w:numPr>
      <w:spacing w:before="240" w:after="240" w:line="220" w:lineRule="exact"/>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numPr>
        <w:numId w:val="19"/>
      </w:numPr>
      <w:tabs>
        <w:tab w:val="left" w:pos="240"/>
      </w:tabs>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widowControl w:val="0"/>
      <w:tabs>
        <w:tab w:val="right" w:pos="4320"/>
        <w:tab w:val="right" w:pos="9120"/>
      </w:tabs>
      <w:spacing w:before="240" w:after="240"/>
      <w:ind w:left="482"/>
    </w:pPr>
    <w:rPr>
      <w:i/>
      <w:noProof/>
    </w:rPr>
  </w:style>
  <w:style w:type="paragraph" w:customStyle="1" w:styleId="Els-footnote">
    <w:name w:val="Els-footnote"/>
    <w:pPr>
      <w:keepLines/>
      <w:widowControl w:val="0"/>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numPr>
        <w:numId w:val="20"/>
      </w:numPr>
      <w:tabs>
        <w:tab w:val="left" w:pos="240"/>
      </w:tabs>
      <w:ind w:left="48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4565C"/>
    <w:pPr>
      <w:suppressAutoHyphens/>
      <w:spacing w:after="240" w:line="400" w:lineRule="exact"/>
      <w:jc w:val="center"/>
    </w:pPr>
    <w:rPr>
      <w:sz w:val="28"/>
      <w:szCs w:val="28"/>
    </w:rPr>
  </w:style>
  <w:style w:type="character" w:styleId="EndnoteReference">
    <w:name w:val="endnote reference"/>
    <w:basedOn w:val="DefaultParagraphFont"/>
    <w:semiHidden/>
    <w:rPr>
      <w:vertAlign w:val="superscript"/>
    </w:rPr>
  </w:style>
  <w:style w:type="paragraph" w:styleId="Header">
    <w:name w:val="header"/>
    <w:semiHidden/>
    <w:pPr>
      <w:tabs>
        <w:tab w:val="center" w:pos="4706"/>
        <w:tab w:val="right" w:pos="9356"/>
      </w:tabs>
      <w:spacing w:before="100" w:beforeAutospacing="1" w:after="240" w:line="200" w:lineRule="atLeast"/>
    </w:pPr>
    <w:rPr>
      <w:i/>
      <w:noProof/>
      <w:sz w:val="16"/>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basedOn w:val="DefaultParagraphFont"/>
    <w:semiHidden/>
    <w:rPr>
      <w:color w:val="auto"/>
      <w:sz w:val="16"/>
      <w:u w:val="none"/>
    </w:rPr>
  </w:style>
  <w:style w:type="character" w:customStyle="1" w:styleId="MTEquationSection">
    <w:name w:val="MTEquationSection"/>
    <w:basedOn w:val="DefaultParagraphFont"/>
    <w:rPr>
      <w:vanish/>
      <w:color w:val="FF0000"/>
    </w:rPr>
  </w:style>
  <w:style w:type="character" w:styleId="PageNumber">
    <w:name w:val="page number"/>
    <w:basedOn w:val="DefaultParagraphFont"/>
    <w:semiHidden/>
    <w:rPr>
      <w:sz w:val="16"/>
    </w:rPr>
  </w:style>
  <w:style w:type="paragraph" w:styleId="PlainText">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FollowedHyperlink">
    <w:name w:val="FollowedHyperlink"/>
    <w:basedOn w:val="DefaultParagraphFont"/>
    <w:semiHidden/>
    <w:rPr>
      <w:color w:val="800080"/>
      <w:u w:val="single"/>
    </w:rPr>
  </w:style>
  <w:style w:type="character" w:customStyle="1" w:styleId="Els-1storder-headChar">
    <w:name w:val="Els-1storder-head Char"/>
    <w:basedOn w:val="DefaultParagraphFont"/>
    <w:rPr>
      <w:b/>
      <w:lang w:val="en-US" w:eastAsia="en-US" w:bidi="ar-SA"/>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basedOn w:val="DefaultParagraphFont"/>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b/>
      <w:bCs/>
      <w:lang w:val="en-GB"/>
    </w:rPr>
  </w:style>
  <w:style w:type="paragraph" w:styleId="BodyTextIndent">
    <w:name w:val="Body Text Indent"/>
    <w:basedOn w:val="Normal"/>
    <w:semiHidden/>
    <w:pPr>
      <w:widowControl/>
      <w:suppressAutoHyphens/>
      <w:ind w:firstLine="360"/>
      <w:jc w:val="both"/>
    </w:pPr>
    <w:rPr>
      <w:rFonts w:eastAsia="Times New Roman"/>
      <w:kern w:val="14"/>
      <w:lang w:val="en-US"/>
    </w:rPr>
  </w:style>
  <w:style w:type="paragraph" w:customStyle="1" w:styleId="ColorfulList-Accent11">
    <w:name w:val="Colorful List - Accent 11"/>
    <w:basedOn w:val="Normal"/>
    <w:qFormat/>
    <w:pPr>
      <w:widowControl/>
      <w:ind w:left="720"/>
    </w:pPr>
    <w:rPr>
      <w:rFonts w:ascii="Arial" w:eastAsia="Batang" w:hAnsi="Arial"/>
      <w:sz w:val="2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geogai@pme.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Settings\yaog\My Documents\-- procedia\PROENG\Templates\newtemplate.dotx</Template>
  <TotalTime>147</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Article</vt:lpstr>
    </vt:vector>
  </TitlesOfParts>
  <Company>Hewlett-Packard Company</Company>
  <LinksUpToDate>false</LinksUpToDate>
  <CharactersWithSpaces>6593</CharactersWithSpaces>
  <SharedDoc>false</SharedDoc>
  <HLinks>
    <vt:vector size="12" baseType="variant">
      <vt:variant>
        <vt:i4>6291561</vt:i4>
      </vt:variant>
      <vt:variant>
        <vt:i4>14</vt:i4>
      </vt:variant>
      <vt:variant>
        <vt:i4>0</vt:i4>
      </vt:variant>
      <vt:variant>
        <vt:i4>5</vt:i4>
      </vt:variant>
      <vt:variant>
        <vt:lpwstr>http://www.elsevier.com/wps/find/authorsview.authors/authorartworkinstructions</vt:lpwstr>
      </vt:variant>
      <vt:variant>
        <vt:lpwstr/>
      </vt:variant>
      <vt:variant>
        <vt:i4>4980737</vt:i4>
      </vt:variant>
      <vt:variant>
        <vt:i4>10</vt:i4>
      </vt:variant>
      <vt:variant>
        <vt:i4>0</vt:i4>
      </vt:variant>
      <vt:variant>
        <vt:i4>5</vt:i4>
      </vt:variant>
      <vt:variant>
        <vt:lpwstr>http://www.sciencedirect.com/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George Gaidajis</cp:lastModifiedBy>
  <cp:revision>20</cp:revision>
  <cp:lastPrinted>2011-11-22T03:26:00Z</cp:lastPrinted>
  <dcterms:created xsi:type="dcterms:W3CDTF">2020-05-06T18:52:00Z</dcterms:created>
  <dcterms:modified xsi:type="dcterms:W3CDTF">2020-05-31T09:58:00Z</dcterms:modified>
</cp:coreProperties>
</file>